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7ABF" w14:textId="77777777" w:rsidR="008E5394" w:rsidRPr="003766DD" w:rsidRDefault="008E5394" w:rsidP="008E5394">
      <w:pPr>
        <w:spacing w:after="0" w:line="240" w:lineRule="auto"/>
        <w:rPr>
          <w:rFonts w:ascii="Tahoma" w:hAnsi="Tahoma" w:cs="Tahoma"/>
          <w:szCs w:val="20"/>
        </w:rPr>
      </w:pPr>
      <w:r w:rsidRPr="003766DD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3766DD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3766DD">
        <w:rPr>
          <w:rFonts w:ascii="Tahoma" w:hAnsi="Tahoma" w:cs="Tahoma"/>
          <w:szCs w:val="20"/>
        </w:rPr>
        <w:br/>
      </w:r>
    </w:p>
    <w:p w14:paraId="6B6CADC7" w14:textId="77777777" w:rsidR="008E5394" w:rsidRDefault="008E5394" w:rsidP="008E5394">
      <w:pPr>
        <w:spacing w:after="1" w:line="200" w:lineRule="atLeast"/>
        <w:jc w:val="both"/>
      </w:pPr>
    </w:p>
    <w:p w14:paraId="43539492" w14:textId="77777777" w:rsidR="008E5394" w:rsidRPr="008E5394" w:rsidRDefault="008E5394" w:rsidP="008E5394">
      <w:pPr>
        <w:spacing w:after="1" w:line="200" w:lineRule="atLeast"/>
        <w:jc w:val="center"/>
      </w:pPr>
      <w:r w:rsidRPr="008E5394">
        <w:rPr>
          <w:b/>
          <w:bCs/>
        </w:rPr>
        <w:t>СРАВНЕНИЕ</w:t>
      </w:r>
    </w:p>
    <w:p w14:paraId="78776ED7" w14:textId="77777777" w:rsidR="008E5394" w:rsidRDefault="008E5394" w:rsidP="008E5394">
      <w:pPr>
        <w:spacing w:after="1" w:line="200" w:lineRule="atLeast"/>
        <w:jc w:val="both"/>
      </w:pPr>
    </w:p>
    <w:tbl>
      <w:tblPr>
        <w:tblW w:w="151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8E5394" w14:paraId="694A729A" w14:textId="77777777" w:rsidTr="008E5394">
        <w:tc>
          <w:tcPr>
            <w:tcW w:w="7597" w:type="dxa"/>
          </w:tcPr>
          <w:p w14:paraId="18E42B17" w14:textId="77777777" w:rsidR="008E5394" w:rsidRPr="008E5394" w:rsidRDefault="008E5394" w:rsidP="008E5394">
            <w:pPr>
              <w:spacing w:after="1" w:line="200" w:lineRule="atLeast"/>
              <w:jc w:val="both"/>
              <w:rPr>
                <w:rFonts w:cs="Arial"/>
              </w:rPr>
            </w:pPr>
            <w:bookmarkStart w:id="0" w:name="_GoBack"/>
            <w:r w:rsidRPr="008E5394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455C3F0" w14:textId="77777777" w:rsidR="008E5394" w:rsidRPr="008E5394" w:rsidRDefault="008E5394" w:rsidP="008E5394">
            <w:pPr>
              <w:spacing w:after="1" w:line="200" w:lineRule="atLeast"/>
              <w:jc w:val="both"/>
              <w:rPr>
                <w:rFonts w:cs="Arial"/>
              </w:rPr>
            </w:pPr>
            <w:r w:rsidRPr="008E5394">
              <w:rPr>
                <w:rFonts w:cs="Arial"/>
              </w:rPr>
              <w:t>Указание Банка России от 10.04.2023 N 6406-У</w:t>
            </w:r>
          </w:p>
        </w:tc>
      </w:tr>
      <w:tr w:rsidR="008E5394" w14:paraId="5A219B2A" w14:textId="77777777" w:rsidTr="008E5394">
        <w:tc>
          <w:tcPr>
            <w:tcW w:w="7597" w:type="dxa"/>
          </w:tcPr>
          <w:p w14:paraId="681B626C" w14:textId="77777777" w:rsidR="008E5394" w:rsidRDefault="003766DD" w:rsidP="008E5394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8E5394" w:rsidRPr="008E5394">
                <w:rPr>
                  <w:rStyle w:val="a3"/>
                  <w:rFonts w:cs="Arial"/>
                </w:rPr>
                <w:t>Сведения</w:t>
              </w:r>
            </w:hyperlink>
            <w:r w:rsidR="008E5394" w:rsidRPr="008E5394">
              <w:rPr>
                <w:rFonts w:cs="Arial"/>
              </w:rPr>
              <w:t xml:space="preserve"> о банковских счетах, счетах по депозитам отдельных категорий юридических лиц и об аккредитивах (Код формы по ОКУД 0409159 (квартальная))</w:t>
            </w:r>
          </w:p>
        </w:tc>
        <w:tc>
          <w:tcPr>
            <w:tcW w:w="7597" w:type="dxa"/>
          </w:tcPr>
          <w:p w14:paraId="7D9BB953" w14:textId="77777777" w:rsidR="008E5394" w:rsidRDefault="003766DD" w:rsidP="008E5394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8E5394" w:rsidRPr="008E5394">
                <w:rPr>
                  <w:rStyle w:val="a3"/>
                  <w:rFonts w:cs="Arial"/>
                </w:rPr>
                <w:t>Сведения</w:t>
              </w:r>
            </w:hyperlink>
            <w:r w:rsidR="008E5394" w:rsidRPr="008E5394">
              <w:rPr>
                <w:rFonts w:cs="Arial"/>
              </w:rPr>
              <w:t xml:space="preserve"> о банковских счетах, счетах по депозитам отдельных категорий юридических лиц и об аккредитивах Форма (квартальная), код формы по ОКУД 0409159)</w:t>
            </w:r>
          </w:p>
        </w:tc>
      </w:tr>
      <w:tr w:rsidR="008E5394" w14:paraId="1318415A" w14:textId="77777777" w:rsidTr="008E5394">
        <w:tc>
          <w:tcPr>
            <w:tcW w:w="7597" w:type="dxa"/>
          </w:tcPr>
          <w:p w14:paraId="564A7765" w14:textId="77777777" w:rsidR="008E5394" w:rsidRDefault="008E5394" w:rsidP="008E5394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1D32F11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1DC15CB2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1B027D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1E0DD104" w14:textId="77777777" w:rsidR="008E5394" w:rsidRDefault="008E5394" w:rsidP="008E5394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8E5394" w14:paraId="293579F8" w14:textId="77777777" w:rsidTr="008E5394">
        <w:tc>
          <w:tcPr>
            <w:tcW w:w="7597" w:type="dxa"/>
          </w:tcPr>
          <w:p w14:paraId="248FC455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1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5"/>
              <w:gridCol w:w="1433"/>
              <w:gridCol w:w="993"/>
              <w:gridCol w:w="2530"/>
            </w:tblGrid>
            <w:tr w:rsidR="001B027D" w14:paraId="50955152" w14:textId="77777777" w:rsidTr="006159FA">
              <w:tc>
                <w:tcPr>
                  <w:tcW w:w="7411" w:type="dxa"/>
                  <w:gridSpan w:val="4"/>
                </w:tcPr>
                <w:p w14:paraId="3A6BB1E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1B027D" w14:paraId="00DD3F52" w14:textId="77777777" w:rsidTr="006159FA">
              <w:tc>
                <w:tcPr>
                  <w:tcW w:w="2455" w:type="dxa"/>
                  <w:vMerge w:val="restart"/>
                  <w:tcBorders>
                    <w:right w:val="single" w:sz="4" w:space="0" w:color="auto"/>
                  </w:tcBorders>
                </w:tcPr>
                <w:p w14:paraId="0B5DA58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43E1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E5FC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1B027D" w14:paraId="42374C8B" w14:textId="77777777" w:rsidTr="006159FA">
              <w:tc>
                <w:tcPr>
                  <w:tcW w:w="2455" w:type="dxa"/>
                  <w:vMerge/>
                  <w:tcBorders>
                    <w:right w:val="single" w:sz="4" w:space="0" w:color="auto"/>
                  </w:tcBorders>
                </w:tcPr>
                <w:p w14:paraId="42D2E11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00F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B6E8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BFB6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1B027D" w14:paraId="64FA586B" w14:textId="77777777" w:rsidTr="006159FA">
              <w:tc>
                <w:tcPr>
                  <w:tcW w:w="2455" w:type="dxa"/>
                  <w:tcBorders>
                    <w:right w:val="single" w:sz="4" w:space="0" w:color="auto"/>
                  </w:tcBorders>
                </w:tcPr>
                <w:p w14:paraId="5E8052F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280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BF9D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E69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31EDCBB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22"/>
              <w:gridCol w:w="709"/>
              <w:gridCol w:w="1667"/>
            </w:tblGrid>
            <w:tr w:rsidR="001B027D" w14:paraId="55B70680" w14:textId="77777777" w:rsidTr="006159FA">
              <w:tc>
                <w:tcPr>
                  <w:tcW w:w="7398" w:type="dxa"/>
                  <w:gridSpan w:val="3"/>
                </w:tcPr>
                <w:p w14:paraId="0206E64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 О БАНКОВСКИХ СЧЕТАХ, СЧЕТАХ ПО ДЕПОЗИТАМ ОТДЕЛЬНЫХ КАТЕГОРИЙ ЮРИДИЧЕСКИХ ЛИЦ И ОБ АККРЕДИТИВАХ</w:t>
                  </w:r>
                </w:p>
                <w:p w14:paraId="5DBDCEE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 г.</w:t>
                  </w:r>
                </w:p>
              </w:tc>
            </w:tr>
            <w:tr w:rsidR="001B027D" w14:paraId="20C5EE79" w14:textId="77777777" w:rsidTr="006159FA">
              <w:tc>
                <w:tcPr>
                  <w:tcW w:w="7398" w:type="dxa"/>
                  <w:gridSpan w:val="3"/>
                </w:tcPr>
                <w:p w14:paraId="69814F2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700523DC" w14:textId="77777777" w:rsidTr="006159FA">
              <w:tc>
                <w:tcPr>
                  <w:tcW w:w="5731" w:type="dxa"/>
                  <w:gridSpan w:val="2"/>
                  <w:vAlign w:val="bottom"/>
                </w:tcPr>
                <w:p w14:paraId="645A5BF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</w:t>
                  </w: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или сокращенное</w:t>
                  </w:r>
                  <w:r>
                    <w:rPr>
                      <w:rFonts w:cs="Arial"/>
                      <w:szCs w:val="20"/>
                    </w:rPr>
                    <w:t xml:space="preserve"> фирменное наименование кредитной организации</w:t>
                  </w: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</w:tcPr>
                <w:p w14:paraId="7987F66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65A2C4BD" w14:textId="77777777" w:rsidTr="006159FA">
              <w:tc>
                <w:tcPr>
                  <w:tcW w:w="5022" w:type="dxa"/>
                </w:tcPr>
                <w:p w14:paraId="103DA9B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(место</w:t>
                  </w:r>
                  <w:r>
                    <w:rPr>
                      <w:rFonts w:cs="Arial"/>
                      <w:szCs w:val="20"/>
                    </w:rPr>
                    <w:t xml:space="preserve"> нахождения</w:t>
                  </w: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  <w:r>
                    <w:rPr>
                      <w:rFonts w:cs="Arial"/>
                      <w:szCs w:val="20"/>
                    </w:rPr>
                    <w:t xml:space="preserve"> кредитной организации</w:t>
                  </w:r>
                </w:p>
              </w:tc>
              <w:tc>
                <w:tcPr>
                  <w:tcW w:w="2376" w:type="dxa"/>
                  <w:gridSpan w:val="2"/>
                  <w:tcBorders>
                    <w:bottom w:val="single" w:sz="4" w:space="0" w:color="auto"/>
                  </w:tcBorders>
                </w:tcPr>
                <w:p w14:paraId="28A539A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4E35E575" w14:textId="77777777" w:rsidTr="006159FA">
              <w:tc>
                <w:tcPr>
                  <w:tcW w:w="7398" w:type="dxa"/>
                  <w:gridSpan w:val="3"/>
                </w:tcPr>
                <w:p w14:paraId="3062828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06535A29" w14:textId="77777777" w:rsidTr="006159FA">
              <w:tc>
                <w:tcPr>
                  <w:tcW w:w="7398" w:type="dxa"/>
                  <w:gridSpan w:val="3"/>
                  <w:vAlign w:val="bottom"/>
                </w:tcPr>
                <w:p w14:paraId="04B09BB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формы по ОКУД 0409159</w:t>
                  </w:r>
                </w:p>
              </w:tc>
            </w:tr>
            <w:tr w:rsidR="001B027D" w14:paraId="63A7F307" w14:textId="77777777" w:rsidTr="006159FA">
              <w:tc>
                <w:tcPr>
                  <w:tcW w:w="7398" w:type="dxa"/>
                  <w:gridSpan w:val="3"/>
                </w:tcPr>
                <w:p w14:paraId="46B688B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Квартальная</w:t>
                  </w:r>
                </w:p>
              </w:tc>
            </w:tr>
          </w:tbl>
          <w:p w14:paraId="3D233ADF" w14:textId="77777777" w:rsidR="008E5394" w:rsidRDefault="008E5394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B964300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6"/>
              <w:gridCol w:w="1508"/>
              <w:gridCol w:w="990"/>
              <w:gridCol w:w="2441"/>
            </w:tblGrid>
            <w:tr w:rsidR="001B027D" w14:paraId="54C01303" w14:textId="77777777" w:rsidTr="006159FA">
              <w:tc>
                <w:tcPr>
                  <w:tcW w:w="7385" w:type="dxa"/>
                  <w:gridSpan w:val="4"/>
                </w:tcPr>
                <w:p w14:paraId="1E94FD2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1B027D" w14:paraId="62D9BAAD" w14:textId="77777777" w:rsidTr="006159FA">
              <w:tc>
                <w:tcPr>
                  <w:tcW w:w="2446" w:type="dxa"/>
                  <w:vMerge w:val="restart"/>
                  <w:tcBorders>
                    <w:right w:val="single" w:sz="4" w:space="0" w:color="auto"/>
                  </w:tcBorders>
                </w:tcPr>
                <w:p w14:paraId="67A6381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3FBE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3329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1B027D" w14:paraId="5C799C0E" w14:textId="77777777" w:rsidTr="006159FA">
              <w:tc>
                <w:tcPr>
                  <w:tcW w:w="2446" w:type="dxa"/>
                  <w:vMerge/>
                  <w:tcBorders>
                    <w:right w:val="single" w:sz="4" w:space="0" w:color="auto"/>
                  </w:tcBorders>
                </w:tcPr>
                <w:p w14:paraId="55DB729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8BCD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23D3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3DD3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1B027D" w14:paraId="51893ED9" w14:textId="77777777" w:rsidTr="006159FA">
              <w:tc>
                <w:tcPr>
                  <w:tcW w:w="2446" w:type="dxa"/>
                  <w:tcBorders>
                    <w:right w:val="single" w:sz="4" w:space="0" w:color="auto"/>
                  </w:tcBorders>
                </w:tcPr>
                <w:p w14:paraId="4064BD9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966D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C7B3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0A15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93CDAEF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3"/>
              <w:gridCol w:w="1745"/>
            </w:tblGrid>
            <w:tr w:rsidR="001B027D" w14:paraId="68DED526" w14:textId="77777777" w:rsidTr="006159FA">
              <w:tc>
                <w:tcPr>
                  <w:tcW w:w="7398" w:type="dxa"/>
                  <w:gridSpan w:val="2"/>
                </w:tcPr>
                <w:p w14:paraId="4EA7BCF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СВЕДЕНИЯ</w:t>
                  </w:r>
                </w:p>
                <w:p w14:paraId="14094E2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 БАНКОВСКИХ СЧЕТАХ, СЧЕТАХ ПО ДЕПОЗИТАМ ОТДЕЛЬНЫХ КАТЕГОРИЙ ЮРИДИЧЕСКИХ ЛИЦ И ОБ АККРЕДИТИВАХ</w:t>
                  </w:r>
                </w:p>
                <w:p w14:paraId="4407589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 г.</w:t>
                  </w:r>
                </w:p>
              </w:tc>
            </w:tr>
            <w:tr w:rsidR="001B027D" w14:paraId="7A8A3382" w14:textId="77777777" w:rsidTr="006159FA">
              <w:tc>
                <w:tcPr>
                  <w:tcW w:w="5653" w:type="dxa"/>
                  <w:vAlign w:val="bottom"/>
                </w:tcPr>
                <w:p w14:paraId="47A3FE6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45" w:type="dxa"/>
                  <w:tcBorders>
                    <w:bottom w:val="single" w:sz="4" w:space="0" w:color="auto"/>
                  </w:tcBorders>
                </w:tcPr>
                <w:p w14:paraId="796388F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136C06AD" w14:textId="77777777" w:rsidTr="006159FA">
              <w:tc>
                <w:tcPr>
                  <w:tcW w:w="7398" w:type="dxa"/>
                  <w:gridSpan w:val="2"/>
                </w:tcPr>
                <w:p w14:paraId="22E7030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1B027D" w14:paraId="2FE92343" w14:textId="77777777" w:rsidTr="006159FA">
              <w:tc>
                <w:tcPr>
                  <w:tcW w:w="7398" w:type="dxa"/>
                  <w:gridSpan w:val="2"/>
                  <w:vAlign w:val="bottom"/>
                </w:tcPr>
                <w:p w14:paraId="3248DA3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0409159</w:t>
                  </w:r>
                </w:p>
              </w:tc>
            </w:tr>
            <w:tr w:rsidR="001B027D" w14:paraId="3198EB76" w14:textId="77777777" w:rsidTr="006159FA">
              <w:tc>
                <w:tcPr>
                  <w:tcW w:w="7398" w:type="dxa"/>
                  <w:gridSpan w:val="2"/>
                </w:tcPr>
                <w:p w14:paraId="1DFA97A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Квартальная</w:t>
                  </w:r>
                </w:p>
              </w:tc>
            </w:tr>
          </w:tbl>
          <w:p w14:paraId="528DE921" w14:textId="77777777" w:rsidR="008E5394" w:rsidRDefault="008E5394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B027D" w14:paraId="0D206064" w14:textId="77777777" w:rsidTr="008E5394">
        <w:tc>
          <w:tcPr>
            <w:tcW w:w="7597" w:type="dxa"/>
          </w:tcPr>
          <w:p w14:paraId="0394F6EA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939"/>
              <w:gridCol w:w="777"/>
              <w:gridCol w:w="650"/>
              <w:gridCol w:w="575"/>
              <w:gridCol w:w="575"/>
              <w:gridCol w:w="578"/>
              <w:gridCol w:w="506"/>
              <w:gridCol w:w="541"/>
              <w:gridCol w:w="507"/>
              <w:gridCol w:w="506"/>
              <w:gridCol w:w="506"/>
              <w:gridCol w:w="435"/>
            </w:tblGrid>
            <w:tr w:rsidR="001B027D" w14:paraId="42EED004" w14:textId="77777777" w:rsidTr="006159FA">
              <w:tc>
                <w:tcPr>
                  <w:tcW w:w="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11DFE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8487A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Полное (сокращенное) фирменное наименование юридического лица</w:t>
                  </w:r>
                </w:p>
              </w:tc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15ACB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FBDB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EDFCB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Номер лицевого счета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C436A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Код валюты счета</w:t>
                  </w:r>
                </w:p>
              </w:tc>
              <w:tc>
                <w:tcPr>
                  <w:tcW w:w="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1D16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Дата открытия счета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FBE31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Входящие остатки, тыс. руб.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388A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Обороты за отчетный период, тыс. руб.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5DEB3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Исходящие остатки, тыс. руб.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D4754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Дата закрытия счета</w:t>
                  </w:r>
                </w:p>
              </w:tc>
              <w:tc>
                <w:tcPr>
                  <w:tcW w:w="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6343D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1B027D" w14:paraId="243C01DA" w14:textId="77777777" w:rsidTr="006159FA">
              <w:tc>
                <w:tcPr>
                  <w:tcW w:w="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F0AB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AB91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C74E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EE82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C758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5D51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DE3B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510E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68E0A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зачисление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F5D7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списание</w:t>
                  </w:r>
                </w:p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1BA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109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9123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6EC40727" w14:textId="77777777" w:rsidTr="006159FA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FBB1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8883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D93C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BC45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7FF2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4EBF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E1AF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CFED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A90F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544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6F1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BF27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25CE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1B027D" w14:paraId="226C3B0F" w14:textId="77777777" w:rsidTr="006159FA">
              <w:tc>
                <w:tcPr>
                  <w:tcW w:w="74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3443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</w:t>
                  </w:r>
                </w:p>
              </w:tc>
            </w:tr>
            <w:tr w:rsidR="001B027D" w14:paraId="305FC083" w14:textId="77777777" w:rsidTr="006159FA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82E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459D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868D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B267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EC68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3A84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A6C5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8F0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A498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4E9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A66E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A44F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3C52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2E797FB5" w14:textId="77777777" w:rsidTr="006159FA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93CE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33A0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6B20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98C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7E8E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DFBF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391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281E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DE89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A2E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9091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E0E9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2BE4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56E99A5C" w14:textId="77777777" w:rsidTr="006159FA">
              <w:tc>
                <w:tcPr>
                  <w:tcW w:w="7401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5102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</w:t>
                  </w:r>
                </w:p>
              </w:tc>
            </w:tr>
            <w:tr w:rsidR="001B027D" w14:paraId="0D6D52F2" w14:textId="77777777" w:rsidTr="006159FA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38E5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988E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278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7AB4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1C4E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C18D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246D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4E2F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4D9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F7F5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F76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34F1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DA26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613C07E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2ECC6C8E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06"/>
              <w:gridCol w:w="948"/>
              <w:gridCol w:w="800"/>
              <w:gridCol w:w="681"/>
              <w:gridCol w:w="537"/>
              <w:gridCol w:w="430"/>
              <w:gridCol w:w="502"/>
              <w:gridCol w:w="573"/>
              <w:gridCol w:w="573"/>
              <w:gridCol w:w="430"/>
              <w:gridCol w:w="609"/>
              <w:gridCol w:w="502"/>
              <w:gridCol w:w="502"/>
              <w:gridCol w:w="6"/>
            </w:tblGrid>
            <w:tr w:rsidR="001B027D" w14:paraId="7F02BD20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D41B3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E601F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Полное (сокращенное) фирменное наименование юридического лица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A54EA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Основной государственный регистрационный номер (ОГРН)</w:t>
                  </w:r>
                </w:p>
              </w:tc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84BB4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D2928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Номер лицевого счета</w:t>
                  </w:r>
                </w:p>
              </w:tc>
              <w:tc>
                <w:tcPr>
                  <w:tcW w:w="4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0CB89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Код валюты счета</w:t>
                  </w:r>
                </w:p>
              </w:tc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CFEBE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Дата открытия счета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8CCD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Входящие остатки, тыс. руб.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5CC7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Обороты за отчетный период, тыс. руб.</w:t>
                  </w:r>
                </w:p>
              </w:tc>
              <w:tc>
                <w:tcPr>
                  <w:tcW w:w="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2300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Исходящие остатки, тыс. руб.</w:t>
                  </w:r>
                </w:p>
              </w:tc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E6F46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Дата закрытия счета</w:t>
                  </w:r>
                </w:p>
              </w:tc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F93B8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1B027D" w14:paraId="0381822B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E792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B734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A8D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7B96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0176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DCD3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67CD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F1C7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4DAF3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зачисление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07990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B027D">
                    <w:rPr>
                      <w:rFonts w:cs="Arial"/>
                      <w:sz w:val="16"/>
                      <w:szCs w:val="16"/>
                    </w:rPr>
                    <w:t>списание</w:t>
                  </w:r>
                </w:p>
              </w:tc>
              <w:tc>
                <w:tcPr>
                  <w:tcW w:w="6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4689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E776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7638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4A7C5C8E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B5C7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7784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E325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A7F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8F3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356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A5C4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30D2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C404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B873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E25A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6B8F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2413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</w:tr>
            <w:tr w:rsidR="001B027D" w14:paraId="75E84C8D" w14:textId="77777777" w:rsidTr="006159FA">
              <w:tc>
                <w:tcPr>
                  <w:tcW w:w="739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7864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</w:t>
                  </w:r>
                </w:p>
              </w:tc>
            </w:tr>
            <w:tr w:rsidR="001B027D" w14:paraId="1BDEA46F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DC4D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5639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B737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8CE7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23A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5FD5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4982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9D5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A84B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19C4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5DE3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A85D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DB39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01693D89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6F93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4548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AAD4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77E7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AD7F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B346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65D4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9BC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4F39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27FD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131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9DA2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236B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32729AA5" w14:textId="77777777" w:rsidTr="006159FA">
              <w:tc>
                <w:tcPr>
                  <w:tcW w:w="739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A4F5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</w:t>
                  </w:r>
                </w:p>
              </w:tc>
            </w:tr>
            <w:tr w:rsidR="001B027D" w14:paraId="350BE989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3694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BCC7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0109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9CB3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228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AFF1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A0CD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AB5E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1EC3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A66A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FF5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33D0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893D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134B8A52" w14:textId="77777777" w:rsidTr="006159FA">
              <w:trPr>
                <w:gridAfter w:val="1"/>
                <w:wAfter w:w="6" w:type="dxa"/>
              </w:trPr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AF09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DB64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78273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4492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68D4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5EE5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5B05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BA61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EC28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A7608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F16C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AA717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F77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40634B2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E5394" w14:paraId="56955AE4" w14:textId="77777777" w:rsidTr="008E5394">
        <w:tc>
          <w:tcPr>
            <w:tcW w:w="7597" w:type="dxa"/>
          </w:tcPr>
          <w:p w14:paraId="2E1E99FF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76"/>
              <w:gridCol w:w="1978"/>
            </w:tblGrid>
            <w:tr w:rsidR="001B027D" w14:paraId="0C739634" w14:textId="77777777" w:rsidTr="006159FA">
              <w:tc>
                <w:tcPr>
                  <w:tcW w:w="3576" w:type="dxa"/>
                  <w:vAlign w:val="bottom"/>
                </w:tcPr>
                <w:p w14:paraId="670691EB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trike/>
                      <w:szCs w:val="20"/>
                    </w:rPr>
                  </w:pP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Руководитель</w:t>
                  </w:r>
                </w:p>
              </w:tc>
              <w:tc>
                <w:tcPr>
                  <w:tcW w:w="1978" w:type="dxa"/>
                  <w:vAlign w:val="bottom"/>
                </w:tcPr>
                <w:p w14:paraId="0218CCC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Ф.И.О. &lt;1&gt;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B027D" w14:paraId="4624A4A7" w14:textId="77777777" w:rsidTr="006159FA">
              <w:tc>
                <w:tcPr>
                  <w:tcW w:w="3576" w:type="dxa"/>
                  <w:vAlign w:val="bottom"/>
                </w:tcPr>
                <w:p w14:paraId="4956021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</w:p>
              </w:tc>
              <w:tc>
                <w:tcPr>
                  <w:tcW w:w="1978" w:type="dxa"/>
                  <w:vAlign w:val="bottom"/>
                </w:tcPr>
                <w:p w14:paraId="039A00FD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B027D">
                    <w:rPr>
                      <w:rFonts w:cs="Arial"/>
                      <w:strike/>
                      <w:color w:val="FF0000"/>
                      <w:szCs w:val="20"/>
                    </w:rPr>
                    <w:t>Ф.И.О. &lt;1&gt;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B027D" w14:paraId="6C5D0A33" w14:textId="77777777" w:rsidTr="006159FA">
              <w:tc>
                <w:tcPr>
                  <w:tcW w:w="3576" w:type="dxa"/>
                  <w:vAlign w:val="bottom"/>
                </w:tcPr>
                <w:p w14:paraId="06CD841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</w:tc>
              <w:tc>
                <w:tcPr>
                  <w:tcW w:w="1978" w:type="dxa"/>
                </w:tcPr>
                <w:p w14:paraId="1551560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1092A5E6" w14:textId="77777777" w:rsidTr="006159FA">
              <w:tc>
                <w:tcPr>
                  <w:tcW w:w="3576" w:type="dxa"/>
                  <w:vAlign w:val="center"/>
                </w:tcPr>
                <w:p w14:paraId="485D3C5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 г.</w:t>
                  </w:r>
                </w:p>
              </w:tc>
              <w:tc>
                <w:tcPr>
                  <w:tcW w:w="1978" w:type="dxa"/>
                </w:tcPr>
                <w:p w14:paraId="3BDFB79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4F32911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F7B5A13" w14:textId="77777777" w:rsidR="001B027D" w:rsidRP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trike/>
                <w:szCs w:val="20"/>
              </w:rPr>
            </w:pPr>
            <w:r w:rsidRPr="001B027D">
              <w:rPr>
                <w:rFonts w:cs="Arial"/>
                <w:strike/>
                <w:color w:val="FF0000"/>
                <w:szCs w:val="20"/>
              </w:rPr>
              <w:t>--------------------------------</w:t>
            </w:r>
          </w:p>
          <w:p w14:paraId="1A3B7022" w14:textId="77777777" w:rsidR="008E5394" w:rsidRPr="001B027D" w:rsidRDefault="001B027D" w:rsidP="001B02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B027D">
              <w:rPr>
                <w:rFonts w:cs="Arial"/>
                <w:strike/>
                <w:color w:val="FF0000"/>
                <w:szCs w:val="20"/>
              </w:rPr>
              <w:t>&lt;1&gt; Отчество</w:t>
            </w:r>
            <w:r>
              <w:rPr>
                <w:rFonts w:cs="Arial"/>
                <w:szCs w:val="20"/>
              </w:rPr>
              <w:t xml:space="preserve"> - при наличии</w:t>
            </w:r>
            <w:r w:rsidRPr="001B027D">
              <w:rPr>
                <w:rFonts w:cs="Arial"/>
                <w:strike/>
                <w:color w:val="FF0000"/>
                <w:szCs w:val="20"/>
              </w:rPr>
              <w:t>.</w:t>
            </w:r>
          </w:p>
        </w:tc>
        <w:tc>
          <w:tcPr>
            <w:tcW w:w="7597" w:type="dxa"/>
          </w:tcPr>
          <w:p w14:paraId="75498B09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35"/>
              <w:gridCol w:w="277"/>
              <w:gridCol w:w="1065"/>
              <w:gridCol w:w="277"/>
              <w:gridCol w:w="2455"/>
            </w:tblGrid>
            <w:tr w:rsidR="001B027D" w14:paraId="52022418" w14:textId="77777777" w:rsidTr="006159FA">
              <w:tc>
                <w:tcPr>
                  <w:tcW w:w="3335" w:type="dxa"/>
                  <w:tcBorders>
                    <w:bottom w:val="single" w:sz="4" w:space="0" w:color="auto"/>
                  </w:tcBorders>
                  <w:vAlign w:val="bottom"/>
                </w:tcPr>
                <w:p w14:paraId="2167CB70" w14:textId="77777777" w:rsidR="001B027D" w:rsidRP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25F4423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</w:tcPr>
                <w:p w14:paraId="269CBFC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bottom w:val="single" w:sz="4" w:space="0" w:color="auto"/>
                  </w:tcBorders>
                </w:tcPr>
                <w:p w14:paraId="6675E492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3CEA67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55" w:type="dxa"/>
                  <w:tcBorders>
                    <w:bottom w:val="single" w:sz="4" w:space="0" w:color="auto"/>
                  </w:tcBorders>
                </w:tcPr>
                <w:p w14:paraId="39D596AC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51083A3E" w14:textId="77777777" w:rsidTr="006159FA">
              <w:tc>
                <w:tcPr>
                  <w:tcW w:w="3335" w:type="dxa"/>
                  <w:tcBorders>
                    <w:top w:val="single" w:sz="4" w:space="0" w:color="auto"/>
                  </w:tcBorders>
                </w:tcPr>
                <w:p w14:paraId="372F7DDE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33FC7CA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4" w:space="0" w:color="auto"/>
                  </w:tcBorders>
                </w:tcPr>
                <w:p w14:paraId="7845CAD5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28833CE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4" w:space="0" w:color="auto"/>
                  </w:tcBorders>
                </w:tcPr>
                <w:p w14:paraId="4DC31BA4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</w:t>
                  </w:r>
                  <w:r>
                    <w:rPr>
                      <w:rFonts w:cs="Arial"/>
                      <w:szCs w:val="20"/>
                    </w:rPr>
                    <w:t xml:space="preserve"> - при наличии)</w:t>
                  </w:r>
                </w:p>
              </w:tc>
            </w:tr>
          </w:tbl>
          <w:p w14:paraId="43AF4A4B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4"/>
              <w:gridCol w:w="321"/>
              <w:gridCol w:w="5525"/>
            </w:tblGrid>
            <w:tr w:rsidR="001B027D" w14:paraId="767EE3C6" w14:textId="77777777" w:rsidTr="006159FA">
              <w:tc>
                <w:tcPr>
                  <w:tcW w:w="1564" w:type="dxa"/>
                  <w:vAlign w:val="bottom"/>
                </w:tcPr>
                <w:p w14:paraId="36C1FD0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1B027D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4B15EBCF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bottom w:val="single" w:sz="4" w:space="0" w:color="auto"/>
                  </w:tcBorders>
                  <w:vAlign w:val="bottom"/>
                </w:tcPr>
                <w:p w14:paraId="2304495B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B027D" w14:paraId="4EF91301" w14:textId="77777777" w:rsidTr="006159FA">
              <w:tc>
                <w:tcPr>
                  <w:tcW w:w="1564" w:type="dxa"/>
                </w:tcPr>
                <w:p w14:paraId="7CF51A36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61FB906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</w:tcBorders>
                </w:tcPr>
                <w:p w14:paraId="0AE003A9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097362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B027D" w14:paraId="34F49B8E" w14:textId="77777777" w:rsidTr="006159FA">
              <w:tc>
                <w:tcPr>
                  <w:tcW w:w="7410" w:type="dxa"/>
                  <w:gridSpan w:val="3"/>
                </w:tcPr>
                <w:p w14:paraId="445AF870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Телефон:</w:t>
                  </w:r>
                </w:p>
                <w:p w14:paraId="70F9A9D1" w14:textId="77777777" w:rsidR="001B027D" w:rsidRDefault="001B027D" w:rsidP="001B02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27006E54" w14:textId="77777777" w:rsidR="008E5394" w:rsidRDefault="008E5394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B027D" w14:paraId="72EC2E81" w14:textId="77777777" w:rsidTr="008E5394">
        <w:tc>
          <w:tcPr>
            <w:tcW w:w="7597" w:type="dxa"/>
          </w:tcPr>
          <w:p w14:paraId="3ACCB685" w14:textId="77777777" w:rsidR="001B027D" w:rsidRDefault="001B027D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A82D00D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774645A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B027D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773AC488" w14:textId="77777777" w:rsidR="001B027D" w:rsidRDefault="001B027D" w:rsidP="001B02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B027D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24928E91" w14:textId="77777777" w:rsidR="001B027D" w:rsidRPr="001B027D" w:rsidRDefault="001B027D" w:rsidP="001B02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  <w:shd w:val="clear" w:color="auto" w:fill="C0C0C0"/>
              </w:rPr>
            </w:pPr>
            <w:r w:rsidRPr="001B027D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25741F94" w14:textId="77777777" w:rsidR="001B027D" w:rsidRPr="001B027D" w:rsidRDefault="001B027D" w:rsidP="001B02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B027D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1B027D" w14:paraId="0759160F" w14:textId="77777777" w:rsidTr="008E5394">
        <w:tc>
          <w:tcPr>
            <w:tcW w:w="7597" w:type="dxa"/>
          </w:tcPr>
          <w:p w14:paraId="69C0FE7A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BEF72A7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C0E2C77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0409159</w:t>
            </w:r>
          </w:p>
          <w:p w14:paraId="66CC82C2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банковских счетах, счетах по депозитам</w:t>
            </w:r>
          </w:p>
          <w:p w14:paraId="4EC128CA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отдельных категорий юридических лиц и об аккредитивах"</w:t>
            </w:r>
          </w:p>
          <w:p w14:paraId="63469ED4" w14:textId="77777777" w:rsidR="001B027D" w:rsidRDefault="001B027D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74815DD" w14:textId="77777777" w:rsidR="001B027D" w:rsidRDefault="001B027D" w:rsidP="001B02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  <w:strike/>
                <w:color w:val="FF0000"/>
              </w:rPr>
              <w:t>Целью введения отчетности</w:t>
            </w:r>
            <w:r>
              <w:rPr>
                <w:rFonts w:cs="Arial"/>
              </w:rPr>
              <w:t xml:space="preserve"> по форме 0409159 "Сведения о банковских счетах, счетах по депозитам отдельных категорий юридических лиц и об аккредитивах" (далее - Отчет) </w:t>
            </w:r>
            <w:r>
              <w:rPr>
                <w:rFonts w:cs="Arial"/>
                <w:strike/>
                <w:color w:val="FF0000"/>
              </w:rPr>
              <w:t>является получение</w:t>
            </w:r>
            <w:r>
              <w:rPr>
                <w:rFonts w:cs="Arial"/>
              </w:rPr>
              <w:t xml:space="preserve"> Банком России информации, необходимой для осуществления мониторинга за кредитными организациями, в которых размещают средства следующие категории юридических лиц:</w:t>
            </w:r>
          </w:p>
          <w:p w14:paraId="137B99E0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юридические лица (за исключением кредитных организаций), подпадающие под действие Федерального закона от 21 июля 2014 года N 213-ФЗ "Об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2014, N 30, ст. 4214; 2015, N 1, ст. 37; 2016, N 1, ст. 11; 2017, N 31, ст. 4816; 2018, N 1, ст. 54; N 32, ст. 5115)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07CAF102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F8C89E9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1D935B41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0409159</w:t>
            </w:r>
          </w:p>
          <w:p w14:paraId="39209B83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банковских счетах, счетах по депозитам отдельных</w:t>
            </w:r>
          </w:p>
          <w:p w14:paraId="32FAD4B2" w14:textId="77777777" w:rsidR="001B027D" w:rsidRDefault="001B027D" w:rsidP="001B027D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категорий юридических лиц и об аккредитивах"</w:t>
            </w:r>
          </w:p>
          <w:p w14:paraId="5BBE7DEA" w14:textId="77777777" w:rsidR="001B027D" w:rsidRDefault="001B027D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5F15E43" w14:textId="77777777" w:rsidR="001B027D" w:rsidRDefault="001B027D" w:rsidP="001B02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</w:t>
            </w:r>
            <w:r>
              <w:rPr>
                <w:rFonts w:cs="Arial"/>
                <w:shd w:val="clear" w:color="auto" w:fill="C0C0C0"/>
              </w:rPr>
              <w:t>Отчетность</w:t>
            </w:r>
            <w:r>
              <w:rPr>
                <w:rFonts w:cs="Arial"/>
              </w:rPr>
              <w:t xml:space="preserve"> по форме 0409159 "Сведения о банковских счетах, счетах по депозитам отдельных категорий юридических лиц и об аккредитивах" (далее - Отчет) </w:t>
            </w:r>
            <w:r>
              <w:rPr>
                <w:rFonts w:cs="Arial"/>
                <w:shd w:val="clear" w:color="auto" w:fill="C0C0C0"/>
              </w:rPr>
              <w:t>представляется в целях получения</w:t>
            </w:r>
            <w:r>
              <w:rPr>
                <w:rFonts w:cs="Arial"/>
              </w:rPr>
              <w:t xml:space="preserve"> Банком России информации, необходимой для осуществления мониторинга за кредитными организациями, в которых размещают средства следующие категории юридических лиц:</w:t>
            </w:r>
          </w:p>
          <w:p w14:paraId="07BA0B88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юридические лица (за исключением кредитных организаций), подпадающие под действие Федерального закона от 21 июля 2014 года N 213-ФЗ "Об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законодательные акты Российской Федерации";</w:t>
            </w:r>
          </w:p>
        </w:tc>
      </w:tr>
      <w:tr w:rsidR="001B027D" w14:paraId="6D5E450B" w14:textId="77777777" w:rsidTr="008E5394">
        <w:tc>
          <w:tcPr>
            <w:tcW w:w="7597" w:type="dxa"/>
          </w:tcPr>
          <w:p w14:paraId="7FAFF305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юридические лица, на которые распространяются положения статьи 24.1 Федерального закона от 14 ноября 2002 года N 161-ФЗ "О государственных и муниципальных унитарных предприятиях" </w:t>
            </w:r>
            <w:r>
              <w:rPr>
                <w:rFonts w:cs="Arial"/>
                <w:strike/>
                <w:color w:val="FF0000"/>
              </w:rPr>
              <w:t xml:space="preserve">(Собрание законодательства Российской Федерации, 2002, N 48, ст. 4746; 2003, N 50, ст. 4855; 2006, N 52, ст. </w:t>
            </w:r>
            <w:r>
              <w:rPr>
                <w:rFonts w:cs="Arial"/>
                <w:strike/>
                <w:color w:val="FF0000"/>
              </w:rPr>
              <w:lastRenderedPageBreak/>
              <w:t>5497; 2007, N 31, ст. 4009; N 49, ст. 6079; 2010, N 27, ст. 3436; 2011, N 30, ст. 4568, ст. 4594; N 45, ст. 6321; N 49, ст. 7040; 2012, N 50, ст. 6963; 2013, N 27, ст. 3480; N 52, ст. 6961; 2014, N 19, ст. 2304; N 45, ст. 6147; 2015, N 29, ст. 4342; N 48, ст. 6678; 2016, N 22, ст. 3097; 2017, N 30, ст. 4457; N 31, ст. 4816; 2018, N 1, ст. 54; N 32, ст. 5115)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1C0B0227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юридические лица, на которые распространяются положения статьи 24.1 Федерального закона от 14 ноября 2002 года N 161-ФЗ "О государственных и муниципальных унитарных предприятиях";</w:t>
            </w:r>
          </w:p>
        </w:tc>
      </w:tr>
      <w:tr w:rsidR="001B027D" w14:paraId="575423E9" w14:textId="77777777" w:rsidTr="008E5394">
        <w:tc>
          <w:tcPr>
            <w:tcW w:w="7597" w:type="dxa"/>
          </w:tcPr>
          <w:p w14:paraId="548B9DA6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государственные корпорации и государственные компании, созданные на основании федеральных законов;</w:t>
            </w:r>
          </w:p>
          <w:p w14:paraId="0B2BBD74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публично-правовые компании, созданные на основании федеральных законов или указов Президента Российской Федерации либо созданные путем реорганизации на основании федерального закона, определяющего порядок такой реорганизации;</w:t>
            </w:r>
          </w:p>
        </w:tc>
        <w:tc>
          <w:tcPr>
            <w:tcW w:w="7597" w:type="dxa"/>
          </w:tcPr>
          <w:p w14:paraId="280FBDF2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государственные корпорации и государственные компании, созданные на основании федеральных законов;</w:t>
            </w:r>
          </w:p>
          <w:p w14:paraId="7EF6A63B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публично-правовые компании, созданные на основании федеральных законов или указов Президента Российской Федерации либо созданные путем реорганизации на основании федерального закона, определяющего порядок такой реорганизации;</w:t>
            </w:r>
          </w:p>
        </w:tc>
      </w:tr>
      <w:tr w:rsidR="001B027D" w14:paraId="25B71B1F" w14:textId="77777777" w:rsidTr="008E5394">
        <w:tc>
          <w:tcPr>
            <w:tcW w:w="7597" w:type="dxa"/>
          </w:tcPr>
          <w:p w14:paraId="51F292DC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абзац утратил силу с 30 апреля 2021 года. - Указание Банка России от 17.02.2021 N 5736-У;</w:t>
            </w:r>
          </w:p>
        </w:tc>
        <w:tc>
          <w:tcPr>
            <w:tcW w:w="7597" w:type="dxa"/>
          </w:tcPr>
          <w:p w14:paraId="61F8ED5E" w14:textId="77777777" w:rsidR="001B027D" w:rsidRDefault="001B027D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B027D" w14:paraId="3C02C471" w14:textId="77777777" w:rsidTr="008E5394">
        <w:tc>
          <w:tcPr>
            <w:tcW w:w="7597" w:type="dxa"/>
          </w:tcPr>
          <w:p w14:paraId="7C984448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Федеральное казначейство;</w:t>
            </w:r>
          </w:p>
          <w:p w14:paraId="78807E0E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государственные внебюджетные фонды.</w:t>
            </w:r>
          </w:p>
          <w:p w14:paraId="7470E1AF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Отчет составляется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 за квартал и представляется кредитными организациями в Банк России не позднее </w:t>
            </w:r>
            <w:r>
              <w:rPr>
                <w:rFonts w:cs="Arial"/>
                <w:strike/>
                <w:color w:val="FF0000"/>
              </w:rPr>
              <w:t>15-го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298EE77E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3. В Отчете указываются данные о банковских счетах, счетах по депозитам и покрытых (депонированных) аккредитивах, сформированные в разрезе каждого юридического лица по каждому счету (аккредитиву).</w:t>
            </w:r>
          </w:p>
          <w:p w14:paraId="6A539C6C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В Отчет не включается информация о счетах, принадлежащих государственной корпорации развития "ВЭБ.РФ", являющейся клиентом (депонентом) кредитной организации, по которым отражаются операции по межбанковским кредитам и депозитам.</w:t>
            </w:r>
          </w:p>
          <w:p w14:paraId="24A4B84C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В разделе 1 Отчета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информация </w:t>
            </w:r>
            <w:r>
              <w:rPr>
                <w:rFonts w:cs="Arial"/>
                <w:strike/>
                <w:color w:val="FF0000"/>
              </w:rPr>
              <w:t>по юридическим лицам</w:t>
            </w:r>
            <w:r w:rsidRPr="001B027D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указанным</w:t>
            </w:r>
            <w:r>
              <w:rPr>
                <w:rFonts w:cs="Arial"/>
              </w:rPr>
              <w:t xml:space="preserve"> в абзацах втором - пятом пункта 1 настоящего Порядка. При заполнении раздела 1 Отчета используется информация о юридических лицах, которая доводится Банком России до сведения кредитных организаций.</w:t>
            </w:r>
          </w:p>
        </w:tc>
        <w:tc>
          <w:tcPr>
            <w:tcW w:w="7597" w:type="dxa"/>
          </w:tcPr>
          <w:p w14:paraId="5E3F0603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Федеральное казначейство;</w:t>
            </w:r>
          </w:p>
          <w:p w14:paraId="32D68917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государственные внебюджетные фонды.</w:t>
            </w:r>
          </w:p>
          <w:p w14:paraId="6B5615B0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Отчет составляется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 xml:space="preserve"> за квартал и представляется кредитными организациями в Банк России не позднее </w:t>
            </w:r>
            <w:r>
              <w:rPr>
                <w:rFonts w:cs="Arial"/>
                <w:shd w:val="clear" w:color="auto" w:fill="C0C0C0"/>
              </w:rPr>
              <w:t>пятнадцатого</w:t>
            </w:r>
            <w:r>
              <w:rPr>
                <w:rFonts w:cs="Arial"/>
              </w:rPr>
              <w:t xml:space="preserve"> рабочего дня месяца, следующего за отчетным кварталом.</w:t>
            </w:r>
          </w:p>
          <w:p w14:paraId="608AF513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3. В Отчете указываются данные о банковских счетах, счетах по депозитам и покрытых (депонированных) аккредитивах, сформированные в разрезе каждого юридического лица по каждому счету (аккредитиву).</w:t>
            </w:r>
          </w:p>
          <w:p w14:paraId="4DE8C8B9" w14:textId="77777777" w:rsidR="001B027D" w:rsidRDefault="001B027D" w:rsidP="001B02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1B027D">
              <w:rPr>
                <w:rFonts w:cs="Arial"/>
              </w:rPr>
              <w:t>В Отчет не включается информация о счетах, принадлежащих государственной корпорации развития "ВЭБ.РФ", являющейся клиентом (депонентом) кредитной организации, по которым отражаются операции по межбанковским кредитам и депозитам.</w:t>
            </w:r>
          </w:p>
          <w:p w14:paraId="76692D7B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В разделе 1 Отчета </w:t>
            </w:r>
            <w:r>
              <w:rPr>
                <w:rFonts w:cs="Arial"/>
                <w:shd w:val="clear" w:color="auto" w:fill="C0C0C0"/>
              </w:rPr>
              <w:t>отражается</w:t>
            </w:r>
            <w:r>
              <w:rPr>
                <w:rFonts w:cs="Arial"/>
              </w:rPr>
              <w:t xml:space="preserve"> информация </w:t>
            </w:r>
            <w:r>
              <w:rPr>
                <w:rFonts w:cs="Arial"/>
                <w:shd w:val="clear" w:color="auto" w:fill="C0C0C0"/>
              </w:rPr>
              <w:t>о юридических лицах</w:t>
            </w:r>
            <w:r w:rsidRPr="001B027D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указанных</w:t>
            </w:r>
            <w:r>
              <w:rPr>
                <w:rFonts w:cs="Arial"/>
              </w:rPr>
              <w:t xml:space="preserve"> в абзацах втором - пятом пункта 1 настоящего Порядка. При заполнении раздела 1 Отчета используется информация о юридических лицах, которая доводится Банком России до сведения кредитных организаций.</w:t>
            </w:r>
          </w:p>
        </w:tc>
      </w:tr>
      <w:tr w:rsidR="001B027D" w14:paraId="690D7B98" w14:textId="77777777" w:rsidTr="008E5394">
        <w:tc>
          <w:tcPr>
            <w:tcW w:w="7597" w:type="dxa"/>
          </w:tcPr>
          <w:p w14:paraId="5136E729" w14:textId="77777777" w:rsidR="001B027D" w:rsidRPr="001B027D" w:rsidRDefault="001B027D" w:rsidP="001B027D">
            <w:pPr>
              <w:spacing w:before="200" w:after="1" w:line="200" w:lineRule="atLeast"/>
              <w:ind w:firstLine="539"/>
              <w:jc w:val="both"/>
            </w:pPr>
            <w:r w:rsidRPr="001B027D">
              <w:rPr>
                <w:rFonts w:cs="Arial"/>
                <w:strike/>
                <w:color w:val="FF0000"/>
              </w:rPr>
              <w:lastRenderedPageBreak/>
              <w:t xml:space="preserve">3.2. </w:t>
            </w:r>
            <w:r>
              <w:rPr>
                <w:rFonts w:cs="Arial"/>
                <w:strike/>
                <w:color w:val="FF0000"/>
              </w:rPr>
              <w:t>Утратил силу с 30 апреля 2021 года. - Указание Банка России от 17.02.2021 N 5736-У.</w:t>
            </w:r>
          </w:p>
        </w:tc>
        <w:tc>
          <w:tcPr>
            <w:tcW w:w="7597" w:type="dxa"/>
          </w:tcPr>
          <w:p w14:paraId="424EEE01" w14:textId="77777777" w:rsidR="001B027D" w:rsidRDefault="001B027D" w:rsidP="001B027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96961" w14:paraId="0D91CDF2" w14:textId="77777777" w:rsidTr="008E5394">
        <w:tc>
          <w:tcPr>
            <w:tcW w:w="7597" w:type="dxa"/>
          </w:tcPr>
          <w:p w14:paraId="454B7140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1B027D">
              <w:rPr>
                <w:rFonts w:cs="Arial"/>
              </w:rPr>
              <w:t>3.</w:t>
            </w:r>
            <w:r>
              <w:rPr>
                <w:rFonts w:cs="Arial"/>
                <w:strike/>
                <w:color w:val="FF0000"/>
              </w:rPr>
              <w:t>3.</w:t>
            </w:r>
            <w:r>
              <w:rPr>
                <w:rFonts w:cs="Arial"/>
              </w:rPr>
              <w:t xml:space="preserve"> В разделе 2 Отчета указываются данные о счетах по депозитам, открытых государственным внебюджетным фондам и Федеральному казначейству.</w:t>
            </w:r>
          </w:p>
          <w:p w14:paraId="7A4487D4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Отчет заполняется следующим образом</w:t>
            </w:r>
            <w:r w:rsidRPr="001B027D">
              <w:rPr>
                <w:rFonts w:cs="Arial"/>
                <w:strike/>
                <w:color w:val="FF0000"/>
              </w:rPr>
              <w:t>.</w:t>
            </w:r>
          </w:p>
          <w:p w14:paraId="321BB937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2 Отчета указывается сокращенное фирменное наименование (сокращенное наименование) (при отсутствии такового указывается полное фирменное наименование (полное наименование) юридического лица в соответствии с записью в едином государственном реестре юридических лиц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 w:rsidRPr="001B027D">
              <w:rPr>
                <w:rFonts w:cs="Arial"/>
              </w:rPr>
              <w:t>.</w:t>
            </w:r>
          </w:p>
          <w:p w14:paraId="6C9D4DB7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3 Отчета указывается основной государственный регистрационный номер юридического лица.</w:t>
            </w:r>
          </w:p>
          <w:p w14:paraId="69BB6468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4 Отчета указывается идентификационный номер налогоплательщика юридического лица.</w:t>
            </w:r>
          </w:p>
          <w:p w14:paraId="5507DE98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5 Отчета указывается номер лицевого счета, открытого юридическому лицу.</w:t>
            </w:r>
          </w:p>
          <w:p w14:paraId="29F34DE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6 Отчета указывается код валюты счета в соответствии с Общероссийским классификатором валют (ОКВ) и Классификатором клиринговых валют.</w:t>
            </w:r>
          </w:p>
          <w:p w14:paraId="75FF7059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графах 7 и 12 Отчета указывается дата открытия (закрытия) счета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 В случае если на дату составления Отчета счет является действующим, в графе 12 Отчета проставляется символ "X".</w:t>
            </w:r>
          </w:p>
          <w:p w14:paraId="63860EB3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графах 8 и 11 Отчета приводятся данные о сумме остатка денежных средств на счете на начало (конец) отчетного периода в целых тысячах рублей.</w:t>
            </w:r>
          </w:p>
          <w:p w14:paraId="28EED959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Все входящие остатки (на начало отчетного периода) по счетам в иностранной валюте пересчитываются в рубли по официальному курсу иностранной валюты по отношению к рублю, установленному Банком России в </w:t>
            </w:r>
            <w:r>
              <w:rPr>
                <w:rFonts w:cs="Arial"/>
              </w:rPr>
              <w:lastRenderedPageBreak/>
              <w:t>соответствии с пунктом 15 статьи 4 Федерального закона "О Центральном банке Российской Федерации (Банке России)" (далее - курс иностранной валюты, установленный Банком России), действующему на конец периода, предшествующего отчетному.</w:t>
            </w:r>
          </w:p>
          <w:p w14:paraId="6E14E985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F96961">
              <w:t>Все исходящие остатки (на конец отчетного периода) по счетам в иностранной валюте пересчитываются в рубли по курсу иностранной валюты, установленному Банком России, действующему на конец отчетного периода.</w:t>
            </w:r>
          </w:p>
          <w:p w14:paraId="334F8A6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конец отчетного периода приходится на выходной день, при пересчете остатков по счетам необходимо исходить из курсов иностранных валют, установленных Банком России </w:t>
            </w:r>
            <w:r w:rsidRPr="00F96961">
              <w:rPr>
                <w:rFonts w:cs="Arial"/>
              </w:rPr>
              <w:t>на</w:t>
            </w:r>
            <w:r>
              <w:rPr>
                <w:rFonts w:cs="Arial"/>
              </w:rPr>
              <w:t xml:space="preserve"> последний календарный день отчетного периода. Соответственно, те же самые курсы применяются и при пересчете остатков на начало следующего отчетного периода.</w:t>
            </w:r>
          </w:p>
        </w:tc>
        <w:tc>
          <w:tcPr>
            <w:tcW w:w="7597" w:type="dxa"/>
          </w:tcPr>
          <w:p w14:paraId="0D7C76D8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</w:t>
            </w:r>
            <w:r w:rsidRPr="001B027D">
              <w:rPr>
                <w:rFonts w:cs="Arial"/>
                <w:shd w:val="clear" w:color="auto" w:fill="C0C0C0"/>
              </w:rPr>
              <w:t>2.</w:t>
            </w:r>
            <w:r>
              <w:rPr>
                <w:rFonts w:cs="Arial"/>
              </w:rPr>
              <w:t xml:space="preserve"> В разделе 2 Отчета указываются данные о счетах по депозитам, открытых государственным внебюджетным фондам и Федеральному казначейству.</w:t>
            </w:r>
          </w:p>
          <w:p w14:paraId="7AE7FA82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Отчет заполняется следующим образом</w:t>
            </w:r>
            <w:r w:rsidRPr="001B027D">
              <w:rPr>
                <w:rFonts w:cs="Arial"/>
                <w:shd w:val="clear" w:color="auto" w:fill="C0C0C0"/>
              </w:rPr>
              <w:t>:</w:t>
            </w:r>
          </w:p>
          <w:p w14:paraId="3082365A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4.1.</w:t>
            </w:r>
            <w:r>
              <w:rPr>
                <w:rFonts w:cs="Arial"/>
              </w:rPr>
              <w:t xml:space="preserve"> В графе 2 Отчета указывается сокращенное фирменное наименование (сокращенное наименование) (при отсутствии такового указывается полное фирменное наименование (полное наименование) юридического лица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</w:t>
            </w:r>
            <w:r w:rsidRPr="001B027D">
              <w:rPr>
                <w:rFonts w:cs="Arial"/>
              </w:rPr>
              <w:t>.</w:t>
            </w:r>
          </w:p>
          <w:p w14:paraId="0E6BEE8B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4.2.</w:t>
            </w:r>
            <w:r>
              <w:rPr>
                <w:rFonts w:cs="Arial"/>
              </w:rPr>
              <w:t xml:space="preserve"> В графе 3 Отчета указывается основной государственный регистрационный номер </w:t>
            </w:r>
            <w:r>
              <w:rPr>
                <w:rFonts w:cs="Arial"/>
                <w:shd w:val="clear" w:color="auto" w:fill="C0C0C0"/>
              </w:rPr>
              <w:t>(ОГРН)</w:t>
            </w:r>
            <w:r>
              <w:rPr>
                <w:rFonts w:cs="Arial"/>
              </w:rPr>
              <w:t xml:space="preserve"> юридического лица.</w:t>
            </w:r>
          </w:p>
          <w:p w14:paraId="5DAB07C9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4.3.</w:t>
            </w:r>
            <w:r>
              <w:rPr>
                <w:rFonts w:cs="Arial"/>
              </w:rPr>
              <w:t xml:space="preserve"> В графе 4 Отчета указывается идентификационный номер налогоплательщика </w:t>
            </w:r>
            <w:r>
              <w:rPr>
                <w:rFonts w:cs="Arial"/>
                <w:shd w:val="clear" w:color="auto" w:fill="C0C0C0"/>
              </w:rPr>
              <w:t>(ИНН)</w:t>
            </w:r>
            <w:r>
              <w:rPr>
                <w:rFonts w:cs="Arial"/>
              </w:rPr>
              <w:t xml:space="preserve"> юридического лица.</w:t>
            </w:r>
          </w:p>
          <w:p w14:paraId="05569A3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4.4.</w:t>
            </w:r>
            <w:r>
              <w:rPr>
                <w:rFonts w:cs="Arial"/>
              </w:rPr>
              <w:t xml:space="preserve"> В графе 5 Отчета указывается номер лицевого счета, открытого юридическому лицу.</w:t>
            </w:r>
          </w:p>
          <w:p w14:paraId="6665FA0D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4.5.</w:t>
            </w:r>
            <w:r>
              <w:rPr>
                <w:rFonts w:cs="Arial"/>
              </w:rPr>
              <w:t xml:space="preserve"> В графе 6 Отчета указывается код валюты счета в соответствии с Общероссийским классификатором валют (ОКВ) и Классификатором клиринговых валют.</w:t>
            </w:r>
          </w:p>
          <w:p w14:paraId="7136C406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4.6.</w:t>
            </w:r>
            <w:r>
              <w:rPr>
                <w:rFonts w:cs="Arial"/>
              </w:rPr>
              <w:t xml:space="preserve"> В графах 7 и 12 Отчета указывается дата открытия (закрытия) счета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 В случае если на дату составления Отчета счет является действующим, в графе 12 Отчета проставляется символ "X".</w:t>
            </w:r>
          </w:p>
          <w:p w14:paraId="5D0B0B52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4.7.</w:t>
            </w:r>
            <w:r>
              <w:rPr>
                <w:rFonts w:cs="Arial"/>
              </w:rPr>
              <w:t xml:space="preserve"> В графах 8 и 11 Отчета приводятся данные о сумме остатка денежных средств на счете на начало (конец) отчетного периода в целых тысячах рублей.</w:t>
            </w:r>
          </w:p>
          <w:p w14:paraId="0BBE2D6C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Все входящие остатки (на начало отчетного периода) по счетам в иностранной валюте пересчитываются в рубли по официальному курсу иностранной валюты по отношению к рублю, установленному Банком России в </w:t>
            </w:r>
            <w:r>
              <w:rPr>
                <w:rFonts w:cs="Arial"/>
              </w:rPr>
              <w:lastRenderedPageBreak/>
              <w:t xml:space="preserve">соответствии с пунктом 15 статьи 4 Федерального закона </w:t>
            </w:r>
            <w:r>
              <w:rPr>
                <w:rFonts w:cs="Arial"/>
                <w:shd w:val="clear" w:color="auto" w:fill="C0C0C0"/>
              </w:rPr>
              <w:t>от 10 июля 2002 года N 86-ФЗ</w:t>
            </w:r>
            <w:r>
              <w:rPr>
                <w:rFonts w:cs="Arial"/>
              </w:rPr>
              <w:t xml:space="preserve"> "О Центральном банке Российской Федерации (Банке России)" (далее - курс иностранной валюты, установленный Банком России), действующему на конец периода, предшествующего отчетному.</w:t>
            </w:r>
          </w:p>
          <w:p w14:paraId="19E1398A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F96961">
              <w:t>Все исходящие остатки (на конец отчетного периода) по счетам в иностранной валюте пересчитываются в рубли по курсу иностранной валюты, установленному Банком России, действующему на конец отчетного периода.</w:t>
            </w:r>
          </w:p>
          <w:p w14:paraId="70692A89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конец отчетного периода приходится на выходной день, при пересчете остатков по счетам необходимо исходить из курсов иностранных валют, установленных Банком России</w:t>
            </w:r>
            <w:r>
              <w:rPr>
                <w:rFonts w:cs="Arial"/>
                <w:shd w:val="clear" w:color="auto" w:fill="C0C0C0"/>
              </w:rPr>
              <w:t>,</w:t>
            </w:r>
            <w:r w:rsidRPr="00F96961">
              <w:rPr>
                <w:rFonts w:cs="Arial"/>
              </w:rPr>
              <w:t xml:space="preserve"> на</w:t>
            </w:r>
            <w:r>
              <w:rPr>
                <w:rFonts w:cs="Arial"/>
              </w:rPr>
              <w:t xml:space="preserve"> последний календарный день отчетного периода. Соответственно, те же самые курсы </w:t>
            </w:r>
            <w:r>
              <w:rPr>
                <w:rFonts w:cs="Arial"/>
                <w:shd w:val="clear" w:color="auto" w:fill="C0C0C0"/>
              </w:rPr>
              <w:t>иностранных валют, установленных Банком России,</w:t>
            </w:r>
            <w:r>
              <w:rPr>
                <w:rFonts w:cs="Arial"/>
              </w:rPr>
              <w:t xml:space="preserve"> применяются и при пересчете остатков на начало следующего отчетного периода.</w:t>
            </w:r>
          </w:p>
        </w:tc>
      </w:tr>
      <w:tr w:rsidR="00F96961" w14:paraId="1A695F44" w14:textId="77777777" w:rsidTr="008E5394">
        <w:tc>
          <w:tcPr>
            <w:tcW w:w="7597" w:type="dxa"/>
          </w:tcPr>
          <w:p w14:paraId="2D968047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В графах 9 и 10 Отчета указываются операции по зачислению и списанию денежных средств по каждому лицевому счету за отчетный период в целых тысячах рублей. Пересчет в рубли сумм операций, совершенных в иностранной валюте, осуществляется по каждой операции по курсу иностранной валюты, установленному Банком России, действующему на дату ее осуществления, а полученные значения суммируются.</w:t>
            </w:r>
          </w:p>
          <w:p w14:paraId="01C3E296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F96961">
              <w:t>Результаты операций по переоценке средств, выраженных в иностранной валюте, не отражаются.</w:t>
            </w:r>
          </w:p>
          <w:p w14:paraId="52D85036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Графа</w:t>
            </w:r>
            <w:r>
              <w:rPr>
                <w:rFonts w:cs="Arial"/>
              </w:rPr>
              <w:t xml:space="preserve"> 13 Отчета </w:t>
            </w:r>
            <w:r>
              <w:rPr>
                <w:rFonts w:cs="Arial"/>
                <w:strike/>
                <w:color w:val="FF0000"/>
              </w:rPr>
              <w:t>предназначена для указания дополнительной информации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4F89F88B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4.8.</w:t>
            </w:r>
            <w:r>
              <w:rPr>
                <w:rFonts w:cs="Arial"/>
              </w:rPr>
              <w:t xml:space="preserve"> В графах 9 и 10 Отчета указываются операции по зачислению и списанию денежных средств по каждому лицевому счету за отчетный период в целых тысячах рублей. Пересчет в рубли сумм операций, совершенных в иностранной валюте, осуществляется по каждой операции по курсу иностранной валюты, установленному Банком России, действующему на дату ее осуществления, а полученные значения суммируются.</w:t>
            </w:r>
          </w:p>
          <w:p w14:paraId="7B10BD9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F96961">
              <w:t>Результаты операций по переоценке средств, выраженных в иностранной валюте, не отражаются.</w:t>
            </w:r>
          </w:p>
          <w:p w14:paraId="4C45520B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4.9. В графе</w:t>
            </w:r>
            <w:r>
              <w:rPr>
                <w:rFonts w:cs="Arial"/>
              </w:rPr>
              <w:t xml:space="preserve"> 13 Отчета </w:t>
            </w:r>
            <w:r>
              <w:rPr>
                <w:rFonts w:cs="Arial"/>
                <w:shd w:val="clear" w:color="auto" w:fill="C0C0C0"/>
              </w:rPr>
              <w:t>указывается дополнительная информация</w:t>
            </w:r>
            <w:r>
              <w:rPr>
                <w:rFonts w:cs="Arial"/>
              </w:rPr>
              <w:t>.</w:t>
            </w:r>
          </w:p>
        </w:tc>
      </w:tr>
      <w:tr w:rsidR="008E5394" w14:paraId="4E3CBEC1" w14:textId="77777777" w:rsidTr="008E5394">
        <w:tc>
          <w:tcPr>
            <w:tcW w:w="7597" w:type="dxa"/>
          </w:tcPr>
          <w:p w14:paraId="5778836D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При заполнении раздела 2 в графе 13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указывается основание для открытия счета с использованием следующих кодов:</w:t>
            </w:r>
          </w:p>
          <w:p w14:paraId="4556D0A0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1 </w:t>
            </w:r>
            <w:r>
              <w:rPr>
                <w:rFonts w:cs="Arial"/>
                <w:strike/>
                <w:color w:val="FF0000"/>
              </w:rPr>
              <w:t>- постановление</w:t>
            </w:r>
            <w:r>
              <w:rPr>
                <w:rFonts w:cs="Arial"/>
              </w:rPr>
              <w:t xml:space="preserve"> Правительства Российской Федерации от 27 января 2012 года N 38 "Об утверждении Правил инвестирования средств страховых взносов на финансирование накопительной пенсии, поступивших в течение финансового года в Пенсионный фонд Российской Федерации"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2012, N 6, ст. 683; 2013, N 36, ст. 4578; 2015, N 1, ст. 286; N 16, ст. 2385; N 33, ст. 4824; 2016, N 20, ст. 2829; 2018, N 2, ст. 428, N 36, ст. 5640);</w:t>
            </w:r>
          </w:p>
          <w:p w14:paraId="2E8E76C6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 w:rsidRPr="00F96961">
              <w:rPr>
                <w:rFonts w:cs="Arial"/>
              </w:rPr>
              <w:lastRenderedPageBreak/>
              <w:t xml:space="preserve">2 </w:t>
            </w:r>
            <w:r>
              <w:rPr>
                <w:rFonts w:cs="Arial"/>
                <w:strike/>
                <w:color w:val="FF0000"/>
              </w:rPr>
              <w:t>- постановление</w:t>
            </w:r>
            <w:r>
              <w:rPr>
                <w:rFonts w:cs="Arial"/>
              </w:rPr>
              <w:t xml:space="preserve"> Правительства Российской Федерации от 24 декабря 2012 года N 1396 "Об утверждении Правил формирования,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2012, N 53, ст. 7947; 2013, N 13, ст. 1559; N 52, ст. 7213; 2014, N 32, ст. 4500; 2015, N 1, ст. 282; N 44, ст. 6139; 2016, N 20, ст. 2829; 2017, N 8, ст. 1255; 2018, N 2, ст. 428);</w:t>
            </w:r>
          </w:p>
          <w:p w14:paraId="2A6F4BF1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 w:rsidRPr="00F96961">
              <w:rPr>
                <w:rFonts w:cs="Arial"/>
              </w:rPr>
              <w:t xml:space="preserve">3 </w:t>
            </w:r>
            <w:r>
              <w:rPr>
                <w:rFonts w:cs="Arial"/>
                <w:strike/>
                <w:color w:val="FF0000"/>
              </w:rPr>
              <w:t>- постановление</w:t>
            </w:r>
            <w:r>
              <w:rPr>
                <w:rFonts w:cs="Arial"/>
              </w:rPr>
              <w:t xml:space="preserve"> Правительства Российской Федерации от 31 декабря 2010 года N 1225 "О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2011, N 2, ст. 388; 2014, N 23, ст. 2980; N 32, ст. 4500; 2016, N 20, ст. 2829; 2018, N 2, ст. 428);</w:t>
            </w:r>
          </w:p>
          <w:p w14:paraId="0AC1375E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 w:rsidRPr="00F96961">
              <w:rPr>
                <w:rFonts w:cs="Arial"/>
              </w:rPr>
              <w:t xml:space="preserve">4 </w:t>
            </w:r>
            <w:r>
              <w:rPr>
                <w:rFonts w:cs="Arial"/>
                <w:strike/>
                <w:color w:val="FF0000"/>
              </w:rPr>
              <w:t>- постановление</w:t>
            </w:r>
            <w:r>
              <w:rPr>
                <w:rFonts w:cs="Arial"/>
              </w:rPr>
              <w:t xml:space="preserve"> Правительства Российской Федерации от 24 декабря 2011 года N 1121 "О порядке размещения средств федерального бюджета,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2012, N 1, ст. 161; 2020, N 39, ст. 6079);</w:t>
            </w:r>
          </w:p>
          <w:p w14:paraId="3175CA52" w14:textId="77777777" w:rsidR="008E5394" w:rsidRP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50 </w:t>
            </w:r>
            <w:r>
              <w:rPr>
                <w:rFonts w:cs="Arial"/>
                <w:strike/>
                <w:color w:val="FF0000"/>
              </w:rPr>
              <w:t>- иное</w:t>
            </w:r>
            <w:r>
              <w:rPr>
                <w:rFonts w:cs="Arial"/>
              </w:rPr>
              <w:t xml:space="preserve"> основание</w:t>
            </w:r>
            <w:r>
              <w:rPr>
                <w:rFonts w:cs="Arial"/>
                <w:strike/>
                <w:color w:val="FF0000"/>
              </w:rPr>
              <w:t>.</w:t>
            </w:r>
          </w:p>
        </w:tc>
        <w:tc>
          <w:tcPr>
            <w:tcW w:w="7597" w:type="dxa"/>
          </w:tcPr>
          <w:p w14:paraId="0EDF75F9" w14:textId="77777777" w:rsidR="00F96961" w:rsidRDefault="00F96961" w:rsidP="00F9696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lastRenderedPageBreak/>
              <w:t xml:space="preserve">При заполнении раздела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 графе 13 указывается основание для открытия счета с использованием следующих кодов:</w:t>
            </w:r>
          </w:p>
          <w:p w14:paraId="2DBD7E31" w14:textId="77777777" w:rsidR="00F96961" w:rsidRDefault="00F96961" w:rsidP="00F96961">
            <w:pPr>
              <w:spacing w:after="1" w:line="200" w:lineRule="atLeast"/>
              <w:jc w:val="both"/>
            </w:pPr>
          </w:p>
          <w:tbl>
            <w:tblPr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794"/>
              <w:gridCol w:w="6576"/>
            </w:tblGrid>
            <w:tr w:rsidR="00F96961" w14:paraId="66E45A04" w14:textId="77777777" w:rsidTr="006159FA">
              <w:tc>
                <w:tcPr>
                  <w:tcW w:w="794" w:type="dxa"/>
                </w:tcPr>
                <w:p w14:paraId="599EE222" w14:textId="77777777" w:rsidR="00F96961" w:rsidRDefault="00F96961" w:rsidP="00F96961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Код</w:t>
                  </w:r>
                </w:p>
              </w:tc>
              <w:tc>
                <w:tcPr>
                  <w:tcW w:w="6576" w:type="dxa"/>
                </w:tcPr>
                <w:p w14:paraId="3F56255E" w14:textId="77777777" w:rsidR="00F96961" w:rsidRDefault="00F96961" w:rsidP="00F96961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Основание для открытия счета</w:t>
                  </w:r>
                </w:p>
              </w:tc>
            </w:tr>
            <w:tr w:rsidR="00F96961" w14:paraId="5E36A5AF" w14:textId="77777777" w:rsidTr="006159FA">
              <w:tc>
                <w:tcPr>
                  <w:tcW w:w="794" w:type="dxa"/>
                </w:tcPr>
                <w:p w14:paraId="615E479C" w14:textId="77777777" w:rsidR="00F96961" w:rsidRDefault="00F96961" w:rsidP="00F96961">
                  <w:pPr>
                    <w:spacing w:after="1" w:line="200" w:lineRule="atLeast"/>
                    <w:jc w:val="center"/>
                  </w:pPr>
                  <w:r w:rsidRPr="00F96961">
                    <w:rPr>
                      <w:rFonts w:cs="Arial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78EE04AF" w14:textId="77777777" w:rsidR="00F96961" w:rsidRDefault="00F96961" w:rsidP="00F96961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  <w:shd w:val="clear" w:color="auto" w:fill="C0C0C0"/>
                    </w:rPr>
                    <w:t>2</w:t>
                  </w:r>
                </w:p>
              </w:tc>
            </w:tr>
            <w:tr w:rsidR="00F96961" w14:paraId="7E1BACA0" w14:textId="77777777" w:rsidTr="006159FA">
              <w:tc>
                <w:tcPr>
                  <w:tcW w:w="794" w:type="dxa"/>
                </w:tcPr>
                <w:p w14:paraId="717F0B01" w14:textId="77777777" w:rsidR="00F96961" w:rsidRPr="00F96961" w:rsidRDefault="00F96961" w:rsidP="00F96961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F96961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6576" w:type="dxa"/>
                </w:tcPr>
                <w:p w14:paraId="31D61CCD" w14:textId="77777777" w:rsidR="00F96961" w:rsidRDefault="00F96961" w:rsidP="00F96961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Постановление</w:t>
                  </w:r>
                  <w:r>
                    <w:rPr>
                      <w:rFonts w:cs="Arial"/>
                    </w:rPr>
                    <w:t xml:space="preserve"> Правительства Российской Федерации от 27 января 2012 года N 38 "Об утверждении Правил инвестирования средств </w:t>
                  </w:r>
                  <w:r>
                    <w:rPr>
                      <w:rFonts w:cs="Arial"/>
                    </w:rPr>
                    <w:lastRenderedPageBreak/>
                    <w:t>страховых взносов на финансирование накопительной пенсии, поступивших в течение финансового года в Пенсионный фонд Российской Федерации"</w:t>
                  </w:r>
                </w:p>
              </w:tc>
            </w:tr>
            <w:tr w:rsidR="00F96961" w14:paraId="0B02430E" w14:textId="77777777" w:rsidTr="006159FA">
              <w:tc>
                <w:tcPr>
                  <w:tcW w:w="794" w:type="dxa"/>
                </w:tcPr>
                <w:p w14:paraId="06BA7342" w14:textId="77777777" w:rsidR="00F96961" w:rsidRPr="00F96961" w:rsidRDefault="00F96961" w:rsidP="00F96961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F96961">
                    <w:rPr>
                      <w:rFonts w:cs="Arial"/>
                    </w:rPr>
                    <w:lastRenderedPageBreak/>
                    <w:t>2</w:t>
                  </w:r>
                </w:p>
              </w:tc>
              <w:tc>
                <w:tcPr>
                  <w:tcW w:w="6576" w:type="dxa"/>
                </w:tcPr>
                <w:p w14:paraId="39E46BA4" w14:textId="77777777" w:rsidR="00F96961" w:rsidRDefault="00F96961" w:rsidP="00F96961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Постановление</w:t>
                  </w:r>
                  <w:r>
                    <w:rPr>
                      <w:rFonts w:cs="Arial"/>
                    </w:rPr>
                    <w:t xml:space="preserve"> Правительства Российской Федерации от 24 декабря 2012 года N 1396 "Об утверждении Правил формирования,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заболеваний"</w:t>
                  </w:r>
                </w:p>
              </w:tc>
            </w:tr>
            <w:tr w:rsidR="00F96961" w14:paraId="3CDA2858" w14:textId="77777777" w:rsidTr="006159FA">
              <w:tc>
                <w:tcPr>
                  <w:tcW w:w="794" w:type="dxa"/>
                </w:tcPr>
                <w:p w14:paraId="70D326B5" w14:textId="77777777" w:rsidR="00F96961" w:rsidRPr="00F96961" w:rsidRDefault="00F96961" w:rsidP="00F96961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F96961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6576" w:type="dxa"/>
                </w:tcPr>
                <w:p w14:paraId="6F80D78D" w14:textId="77777777" w:rsidR="00F96961" w:rsidRDefault="00F96961" w:rsidP="00F96961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Постановление</w:t>
                  </w:r>
                  <w:r>
                    <w:rPr>
                      <w:rFonts w:cs="Arial"/>
                    </w:rPr>
                    <w:t xml:space="preserve"> Правительства Российской Федерации от 31 декабря 2010 года N 1225 "О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страхования"</w:t>
                  </w:r>
                </w:p>
              </w:tc>
            </w:tr>
            <w:tr w:rsidR="00F96961" w14:paraId="69DF0547" w14:textId="77777777" w:rsidTr="006159FA">
              <w:tc>
                <w:tcPr>
                  <w:tcW w:w="794" w:type="dxa"/>
                </w:tcPr>
                <w:p w14:paraId="184A9602" w14:textId="77777777" w:rsidR="00F96961" w:rsidRPr="00F96961" w:rsidRDefault="00F96961" w:rsidP="00F96961">
                  <w:pPr>
                    <w:spacing w:after="1" w:line="200" w:lineRule="atLeast"/>
                    <w:jc w:val="center"/>
                    <w:rPr>
                      <w:rFonts w:cs="Arial"/>
                    </w:rPr>
                  </w:pPr>
                  <w:r w:rsidRPr="00F96961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6576" w:type="dxa"/>
                </w:tcPr>
                <w:p w14:paraId="00697CA2" w14:textId="77777777" w:rsidR="00F96961" w:rsidRDefault="00F96961" w:rsidP="00F96961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Постановление</w:t>
                  </w:r>
                  <w:r>
                    <w:rPr>
                      <w:rFonts w:cs="Arial"/>
                    </w:rPr>
                    <w:t xml:space="preserve"> Правительства Российской Федерации от 24 декабря 2011 года N 1121 "О порядке размещения средств федерального бюджета, средств единого казначейского счета и резерва средств на осуществление обязательного социального страхования от несчастных случаев на производстве и профессиональных заболеваний на банковских депозитах"</w:t>
                  </w:r>
                </w:p>
              </w:tc>
            </w:tr>
            <w:tr w:rsidR="00F96961" w14:paraId="1FB17F93" w14:textId="77777777" w:rsidTr="006159FA">
              <w:tc>
                <w:tcPr>
                  <w:tcW w:w="794" w:type="dxa"/>
                </w:tcPr>
                <w:p w14:paraId="2BDA5800" w14:textId="77777777" w:rsidR="00F96961" w:rsidRDefault="00F96961" w:rsidP="00F96961">
                  <w:pPr>
                    <w:spacing w:after="1" w:line="200" w:lineRule="atLeast"/>
                    <w:jc w:val="center"/>
                  </w:pPr>
                  <w:r>
                    <w:rPr>
                      <w:rFonts w:cs="Arial"/>
                    </w:rPr>
                    <w:t>50</w:t>
                  </w:r>
                </w:p>
              </w:tc>
              <w:tc>
                <w:tcPr>
                  <w:tcW w:w="6576" w:type="dxa"/>
                </w:tcPr>
                <w:p w14:paraId="726ECCBE" w14:textId="77777777" w:rsidR="00F96961" w:rsidRDefault="00F96961" w:rsidP="00F96961">
                  <w:pPr>
                    <w:spacing w:after="1" w:line="200" w:lineRule="atLeast"/>
                  </w:pPr>
                  <w:r>
                    <w:rPr>
                      <w:rFonts w:cs="Arial"/>
                      <w:shd w:val="clear" w:color="auto" w:fill="C0C0C0"/>
                    </w:rPr>
                    <w:t>Иное</w:t>
                  </w:r>
                  <w:r>
                    <w:rPr>
                      <w:rFonts w:cs="Arial"/>
                    </w:rPr>
                    <w:t xml:space="preserve"> основание</w:t>
                  </w:r>
                </w:p>
              </w:tc>
            </w:tr>
          </w:tbl>
          <w:p w14:paraId="7777E944" w14:textId="77777777" w:rsidR="008E5394" w:rsidRDefault="008E5394" w:rsidP="00F96961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96961" w14:paraId="20D867B7" w14:textId="77777777" w:rsidTr="008E5394">
        <w:tc>
          <w:tcPr>
            <w:tcW w:w="7597" w:type="dxa"/>
          </w:tcPr>
          <w:p w14:paraId="0B6EBF1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 w:rsidRPr="00F96961">
              <w:rPr>
                <w:rFonts w:cs="Arial"/>
              </w:rPr>
              <w:lastRenderedPageBreak/>
              <w:t>При</w:t>
            </w:r>
            <w:r>
              <w:rPr>
                <w:rFonts w:cs="Arial"/>
              </w:rPr>
              <w:t xml:space="preserve"> указании кода </w:t>
            </w:r>
            <w:r w:rsidRPr="00F96961">
              <w:rPr>
                <w:rFonts w:cs="Arial"/>
              </w:rPr>
              <w:t>50</w:t>
            </w:r>
            <w:r>
              <w:rPr>
                <w:rFonts w:cs="Arial"/>
              </w:rPr>
              <w:t xml:space="preserve"> в графе 13 раздела 2 Отчета также указываются реквизиты нормативного правового акта, являющегося основанием для заключения договора банковского вклада (депозита).</w:t>
            </w:r>
          </w:p>
          <w:p w14:paraId="32A4B78F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 Сведения о покрытых (депонированных) аккредитивах отражаются кредитной организацией - эмитентом в разделе 1 Отчета с учетом </w:t>
            </w:r>
            <w:r>
              <w:rPr>
                <w:rFonts w:cs="Arial"/>
                <w:strike/>
                <w:color w:val="FF0000"/>
              </w:rPr>
              <w:t>следующих</w:t>
            </w:r>
            <w:r>
              <w:rPr>
                <w:rFonts w:cs="Arial"/>
              </w:rPr>
              <w:t xml:space="preserve"> особенностей.</w:t>
            </w:r>
          </w:p>
          <w:p w14:paraId="7422AE41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5 Отчета указывается номер аккредитива, присвоенный кредитной организацией - эмитентом.</w:t>
            </w:r>
          </w:p>
          <w:p w14:paraId="7183F47D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6 Отчета указывается цифровой код валюты, в которой выражается сумма аккредитива, в соответствии с Общероссийским классификатором валют (ОКВ) и Классификатором клиринговых валют.</w:t>
            </w:r>
          </w:p>
          <w:p w14:paraId="6E47496E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графе 7 Отчета указывается дата открытия аккредитива в формате "</w:t>
            </w:r>
            <w:proofErr w:type="spellStart"/>
            <w:r>
              <w:t>дд.мм.гггг</w:t>
            </w:r>
            <w:proofErr w:type="spellEnd"/>
            <w:r>
              <w:t>", где "</w:t>
            </w:r>
            <w:proofErr w:type="spellStart"/>
            <w:r>
              <w:t>дд</w:t>
            </w:r>
            <w:proofErr w:type="spellEnd"/>
            <w:r>
              <w:t>" - день, "мм" - месяц, "</w:t>
            </w:r>
            <w:proofErr w:type="spellStart"/>
            <w:r>
              <w:t>гггг</w:t>
            </w:r>
            <w:proofErr w:type="spellEnd"/>
            <w:r>
              <w:t>" - год.</w:t>
            </w:r>
          </w:p>
          <w:p w14:paraId="3FD90210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графах 8 и 11 Отчета отражается информация о неиспользованном остатке суммы покрытия (при наличии указанной информации) либо </w:t>
            </w:r>
            <w:r>
              <w:rPr>
                <w:rFonts w:cs="Arial"/>
                <w:strike/>
                <w:color w:val="FF0000"/>
              </w:rPr>
              <w:t>сумма</w:t>
            </w:r>
            <w:r>
              <w:rPr>
                <w:rFonts w:cs="Arial"/>
              </w:rPr>
              <w:t xml:space="preserve"> аккредитива </w:t>
            </w:r>
            <w:r>
              <w:rPr>
                <w:rFonts w:cs="Arial"/>
                <w:strike/>
                <w:color w:val="FF0000"/>
              </w:rPr>
              <w:t>аналогично отражению сведений</w:t>
            </w:r>
            <w:r>
              <w:rPr>
                <w:rFonts w:cs="Arial"/>
              </w:rPr>
              <w:t xml:space="preserve"> по счетам.</w:t>
            </w:r>
          </w:p>
          <w:p w14:paraId="0330F875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12 Отчета указывается дата закрытия или дата истечения срока аккредитива, указанная в аккредитиве, в формате "</w:t>
            </w:r>
            <w:proofErr w:type="spellStart"/>
            <w:r>
              <w:t>дд.мм.гггг</w:t>
            </w:r>
            <w:proofErr w:type="spellEnd"/>
            <w:r>
              <w:t>", где "</w:t>
            </w:r>
            <w:proofErr w:type="spellStart"/>
            <w:r>
              <w:t>дд</w:t>
            </w:r>
            <w:proofErr w:type="spellEnd"/>
            <w:r>
              <w:t>" - день, "мм" - месяц, "</w:t>
            </w:r>
            <w:proofErr w:type="spellStart"/>
            <w:r>
              <w:t>гггг</w:t>
            </w:r>
            <w:proofErr w:type="spellEnd"/>
            <w:r>
              <w:t>" - год.</w:t>
            </w:r>
          </w:p>
          <w:p w14:paraId="08B84F6A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 xml:space="preserve">В случае если аккредитив закрывается в отчетном периоде, в графе 13 Отчета указывается причина его закрытия (истечение срока аккредитива, отказ от использования аккредитива, полная или частичная оплата, полный или частичный отзыв </w:t>
            </w:r>
            <w:r w:rsidRPr="00F96961">
              <w:rPr>
                <w:strike/>
                <w:color w:val="FF0000"/>
              </w:rPr>
              <w:t>и так далее</w:t>
            </w:r>
            <w:r>
              <w:t>).</w:t>
            </w:r>
          </w:p>
        </w:tc>
        <w:tc>
          <w:tcPr>
            <w:tcW w:w="7597" w:type="dxa"/>
          </w:tcPr>
          <w:p w14:paraId="21CB3DC0" w14:textId="77777777" w:rsidR="00F96961" w:rsidRDefault="00F96961" w:rsidP="00F96961">
            <w:pPr>
              <w:spacing w:after="1" w:line="200" w:lineRule="atLeast"/>
              <w:ind w:firstLine="539"/>
              <w:jc w:val="both"/>
            </w:pPr>
          </w:p>
          <w:p w14:paraId="0D0CA79D" w14:textId="77777777" w:rsidR="00F96961" w:rsidRDefault="00F96961" w:rsidP="00F96961">
            <w:pPr>
              <w:spacing w:after="1" w:line="200" w:lineRule="atLeast"/>
              <w:ind w:firstLine="539"/>
              <w:jc w:val="both"/>
            </w:pPr>
            <w:r w:rsidRPr="00F96961">
              <w:rPr>
                <w:rFonts w:cs="Arial"/>
              </w:rPr>
              <w:t>При</w:t>
            </w:r>
            <w:r>
              <w:rPr>
                <w:rFonts w:cs="Arial"/>
              </w:rPr>
              <w:t xml:space="preserve"> указании кода </w:t>
            </w:r>
            <w:r>
              <w:rPr>
                <w:rFonts w:cs="Arial"/>
                <w:shd w:val="clear" w:color="auto" w:fill="C0C0C0"/>
              </w:rPr>
              <w:t>"</w:t>
            </w:r>
            <w:r w:rsidRPr="00F96961">
              <w:rPr>
                <w:rFonts w:cs="Arial"/>
              </w:rPr>
              <w:t>50</w:t>
            </w:r>
            <w:r>
              <w:rPr>
                <w:rFonts w:cs="Arial"/>
                <w:shd w:val="clear" w:color="auto" w:fill="C0C0C0"/>
              </w:rPr>
              <w:t>"</w:t>
            </w:r>
            <w:r>
              <w:rPr>
                <w:rFonts w:cs="Arial"/>
              </w:rPr>
              <w:t xml:space="preserve"> в графе 13 раздела 2 Отчета также указываются реквизиты нормативного правового акта, являющегося основанием для заключения договора банковского вклада (депозита).</w:t>
            </w:r>
          </w:p>
          <w:p w14:paraId="3986F775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 Сведения о покрытых (депонированных) аккредитивах отражаются кредитной организацией - эмитентом в разделе 1 Отчета с учетом особенностей</w:t>
            </w:r>
            <w:r>
              <w:rPr>
                <w:rFonts w:cs="Arial"/>
                <w:shd w:val="clear" w:color="auto" w:fill="C0C0C0"/>
              </w:rPr>
              <w:t>, предусмотренных настоящим пунктом</w:t>
            </w:r>
            <w:r>
              <w:rPr>
                <w:rFonts w:cs="Arial"/>
              </w:rPr>
              <w:t>.</w:t>
            </w:r>
          </w:p>
          <w:p w14:paraId="09D0154B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5 Отчета указывается номер аккредитива, присвоенный кредитной организацией - эмитентом.</w:t>
            </w:r>
          </w:p>
          <w:p w14:paraId="0ECD8882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6 Отчета указывается цифровой код валюты, в которой выражается сумма аккредитива, в соответствии с Общероссийским классификатором валют (ОКВ) и Классификатором клиринговых валют.</w:t>
            </w:r>
          </w:p>
          <w:p w14:paraId="7DFAA7C8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В графе 7 Отчета указывается дата открытия аккредитива в формате "</w:t>
            </w:r>
            <w:proofErr w:type="spellStart"/>
            <w:r>
              <w:t>дд.мм.гггг</w:t>
            </w:r>
            <w:proofErr w:type="spellEnd"/>
            <w:r>
              <w:t>", где "</w:t>
            </w:r>
            <w:proofErr w:type="spellStart"/>
            <w:r>
              <w:t>дд</w:t>
            </w:r>
            <w:proofErr w:type="spellEnd"/>
            <w:r>
              <w:t>" - день, "мм" - месяц, "</w:t>
            </w:r>
            <w:proofErr w:type="spellStart"/>
            <w:r>
              <w:t>гггг</w:t>
            </w:r>
            <w:proofErr w:type="spellEnd"/>
            <w:r>
              <w:t>" - год.</w:t>
            </w:r>
          </w:p>
          <w:p w14:paraId="1403AB94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графах 8 и 11 Отчета отражается информация о неиспользованном остатке суммы покрытия (при наличии указанной информации) либо </w:t>
            </w:r>
            <w:r>
              <w:rPr>
                <w:rFonts w:cs="Arial"/>
                <w:shd w:val="clear" w:color="auto" w:fill="C0C0C0"/>
              </w:rPr>
              <w:t>о сумме</w:t>
            </w:r>
            <w:r>
              <w:rPr>
                <w:rFonts w:cs="Arial"/>
              </w:rPr>
              <w:t xml:space="preserve"> аккредитива </w:t>
            </w:r>
            <w:r>
              <w:rPr>
                <w:rFonts w:cs="Arial"/>
                <w:shd w:val="clear" w:color="auto" w:fill="C0C0C0"/>
              </w:rPr>
              <w:t>так же, как отражаются сведения</w:t>
            </w:r>
            <w:r>
              <w:rPr>
                <w:rFonts w:cs="Arial"/>
              </w:rPr>
              <w:t xml:space="preserve"> по счетам.</w:t>
            </w:r>
          </w:p>
          <w:p w14:paraId="6BDA136C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графе 12 Отчета указывается дата закрытия или дата истечения срока аккредитива, указанная в аккредитиве, в формате "</w:t>
            </w:r>
            <w:proofErr w:type="spellStart"/>
            <w:r>
              <w:t>дд.мм.гггг</w:t>
            </w:r>
            <w:proofErr w:type="spellEnd"/>
            <w:r>
              <w:t>", где "</w:t>
            </w:r>
            <w:proofErr w:type="spellStart"/>
            <w:r>
              <w:t>дд</w:t>
            </w:r>
            <w:proofErr w:type="spellEnd"/>
            <w:r>
              <w:t>" - день, "мм" - месяц, "</w:t>
            </w:r>
            <w:proofErr w:type="spellStart"/>
            <w:r>
              <w:t>гггг</w:t>
            </w:r>
            <w:proofErr w:type="spellEnd"/>
            <w:r>
              <w:t>" - год.</w:t>
            </w:r>
          </w:p>
          <w:p w14:paraId="2827FB17" w14:textId="77777777" w:rsidR="00F96961" w:rsidRDefault="00F96961" w:rsidP="00F96961">
            <w:pPr>
              <w:spacing w:before="200" w:after="1" w:line="200" w:lineRule="atLeast"/>
              <w:ind w:firstLine="539"/>
              <w:jc w:val="both"/>
            </w:pPr>
            <w:r>
              <w:t>В случае если аккредитив закрывается в отчетном периоде, в графе 13 Отчета указывается причина его закрытия (</w:t>
            </w:r>
            <w:r w:rsidRPr="00F96961">
              <w:rPr>
                <w:shd w:val="clear" w:color="auto" w:fill="C0C0C0"/>
              </w:rPr>
              <w:t>в том числе</w:t>
            </w:r>
            <w:r>
              <w:t xml:space="preserve"> истечение срока аккредитива, отказ от использования аккредитива, полная или частичная оплата, полный или частичный отзыв).</w:t>
            </w:r>
          </w:p>
        </w:tc>
      </w:tr>
      <w:bookmarkEnd w:id="0"/>
    </w:tbl>
    <w:p w14:paraId="290FA076" w14:textId="77777777" w:rsidR="00195790" w:rsidRDefault="00195790" w:rsidP="00F96961">
      <w:pPr>
        <w:spacing w:after="1" w:line="200" w:lineRule="atLeast"/>
        <w:jc w:val="both"/>
      </w:pPr>
    </w:p>
    <w:sectPr w:rsidR="00195790" w:rsidSect="001957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90"/>
    <w:rsid w:val="00097362"/>
    <w:rsid w:val="001334C3"/>
    <w:rsid w:val="00195790"/>
    <w:rsid w:val="001B027D"/>
    <w:rsid w:val="00252FA0"/>
    <w:rsid w:val="003766DD"/>
    <w:rsid w:val="0039141E"/>
    <w:rsid w:val="00403AB6"/>
    <w:rsid w:val="008C0721"/>
    <w:rsid w:val="008E5394"/>
    <w:rsid w:val="00995BD1"/>
    <w:rsid w:val="009F7EFA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3EDC"/>
  <w15:chartTrackingRefBased/>
  <w15:docId w15:val="{4F4E5334-CA7D-415A-9BAB-B696730E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5394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F96961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76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39B63B7C772A8D19E9AB66B958E0D80FA2FF8EFCF48548B446B0849ED200B9D9696726943B1F81873640AE701485A1D1937FDEFE2D2938D2hAQ" TargetMode="External"/><Relationship Id="rId5" Type="http://schemas.openxmlformats.org/officeDocument/2006/relationships/hyperlink" Target="consultantplus://offline/ref=9F47C1CD1FF685323EB4E1598023F1201840F27BDE9AA2B42443D1BF4BCD7883A282DF1AACAACF688C306FC25E5C93A8A4C139C34EBCD5lBg9Q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2024-01-04T15:42:00Z</dcterms:created>
  <dcterms:modified xsi:type="dcterms:W3CDTF">2024-01-08T13:53:00Z</dcterms:modified>
</cp:coreProperties>
</file>